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NSTL外文试用介绍</w:t>
      </w:r>
    </w:p>
    <w:p>
      <w:pPr>
        <w:ind w:firstLine="480" w:firstLineChars="200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/>
          <w:sz w:val="24"/>
          <w:szCs w:val="24"/>
        </w:rPr>
        <w:t>国家科技图书文献中心（National Science and Technology Library，简称NSTL）包括外文期刊论文和外文会议论文。外文期刊论文是全文资源。收录了1995年以来世界各国出版的20900种重要学术期刊，部分文献有少量回溯。每年增加论文约百万余篇，每月更新。外文会议论文是全文资源。收录了1985年以来世界各主要学协会、出版机构出版的学术会议论文，部分文献有少量回溯。每年增加论文约20余万篇，每月更新。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万方数据于2013年8月引进国家工程技术图书馆资源，中、外文资源得到了极大的扩充。资源介绍如下：</w:t>
      </w:r>
    </w:p>
    <w:p>
      <w:pPr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国家工程技术图书馆资源简介：</w:t>
      </w:r>
    </w:p>
    <w:tbl>
      <w:tblPr>
        <w:tblStyle w:val="4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4536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产品名称</w:t>
            </w:r>
          </w:p>
        </w:tc>
        <w:tc>
          <w:tcPr>
            <w:tcW w:w="4536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产品描述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全库数量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外文期刊数据库</w:t>
            </w:r>
          </w:p>
        </w:tc>
        <w:tc>
          <w:tcPr>
            <w:tcW w:w="4536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从68年至今，收录范围几乎覆盖所有国外工程技术类核心期刊，</w:t>
            </w: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被SCI收录的有1000多种，被EI收录近1000种</w:t>
            </w:r>
            <w:r>
              <w:rPr>
                <w:rFonts w:hint="eastAsia" w:ascii="宋体" w:hAnsi="宋体" w:eastAsia="宋体" w:cs="Times New Roman"/>
                <w:szCs w:val="21"/>
              </w:rPr>
              <w:t>，国内独家馆藏4000种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西文15000种</w:t>
            </w:r>
          </w:p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日俄4000种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外文学位数据库</w:t>
            </w:r>
          </w:p>
        </w:tc>
        <w:tc>
          <w:tcPr>
            <w:tcW w:w="4536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国内集团采购</w:t>
            </w:r>
            <w:r>
              <w:rPr>
                <w:rFonts w:hint="eastAsia" w:ascii="宋体" w:hAnsi="宋体" w:eastAsia="宋体" w:cs="Times New Roman"/>
                <w:b/>
                <w:color w:val="FF0000"/>
                <w:szCs w:val="21"/>
              </w:rPr>
              <w:t>ProQuest公司优秀博硕士学位论文</w:t>
            </w:r>
            <w:r>
              <w:rPr>
                <w:rFonts w:hint="eastAsia" w:ascii="宋体" w:hAnsi="宋体" w:eastAsia="宋体" w:cs="Times New Roman"/>
                <w:szCs w:val="21"/>
              </w:rPr>
              <w:t>的主要成员单位 ，是国内三大镜像站点之一。（ProQuest收录了欧美2000多家著名院校的博硕士学位论文）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34万册，年更新4万册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外文会议数据库</w:t>
            </w:r>
          </w:p>
        </w:tc>
        <w:tc>
          <w:tcPr>
            <w:tcW w:w="4536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从68年收集至今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西文会议13万册，年更新2000册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外文科技报告（美国四大报告）</w:t>
            </w:r>
          </w:p>
        </w:tc>
        <w:tc>
          <w:tcPr>
            <w:tcW w:w="4536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收录了美国四大报告，以及政府、院校、科研机构的项目进展报告、成果报告等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美国四大报告125万份，其他报告40多万份。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外文工具书</w:t>
            </w:r>
          </w:p>
        </w:tc>
        <w:tc>
          <w:tcPr>
            <w:tcW w:w="4536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从64年开始收集，是国外大型工具书的主要收藏单位，其中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EI从1975年开始收藏，SCI从1964年开始收藏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累计收藏国外检索工具书30万余册，国外参考工具书2万册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中文期刊</w:t>
            </w:r>
            <w:r>
              <w:rPr>
                <w:rFonts w:hint="eastAsia" w:ascii="宋体" w:hAnsi="宋体" w:eastAsia="宋体" w:cs="Times New Roman"/>
                <w:szCs w:val="21"/>
              </w:rPr>
              <w:t>数据库</w:t>
            </w:r>
          </w:p>
        </w:tc>
        <w:tc>
          <w:tcPr>
            <w:tcW w:w="4536" w:type="dxa"/>
          </w:tcPr>
          <w:p>
            <w:pPr>
              <w:spacing w:line="480" w:lineRule="auto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1960</w:t>
            </w:r>
            <w:r>
              <w:rPr>
                <w:rFonts w:hint="eastAsia" w:ascii="宋体" w:hAnsi="宋体"/>
                <w:szCs w:val="21"/>
              </w:rPr>
              <w:t xml:space="preserve">年至今 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16,257</w:t>
            </w:r>
            <w:r>
              <w:rPr>
                <w:rFonts w:hint="eastAsia" w:ascii="宋体" w:hAnsi="宋体" w:eastAsia="宋体" w:cs="Times New Roman"/>
                <w:szCs w:val="21"/>
              </w:rPr>
              <w:t>种期刊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中文会议</w:t>
            </w:r>
            <w:r>
              <w:rPr>
                <w:rFonts w:hint="eastAsia" w:ascii="宋体" w:hAnsi="宋体" w:eastAsia="宋体" w:cs="Times New Roman"/>
                <w:szCs w:val="21"/>
              </w:rPr>
              <w:t>数据库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 xml:space="preserve"> </w:t>
            </w:r>
          </w:p>
        </w:tc>
        <w:tc>
          <w:tcPr>
            <w:tcW w:w="4536" w:type="dxa"/>
          </w:tcPr>
          <w:p>
            <w:pPr>
              <w:spacing w:line="480" w:lineRule="auto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工业技术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22,211</w:t>
            </w:r>
            <w:r>
              <w:rPr>
                <w:rFonts w:hint="eastAsia" w:ascii="宋体" w:hAnsi="宋体"/>
                <w:szCs w:val="21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1134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中文学位</w:t>
            </w:r>
            <w:r>
              <w:rPr>
                <w:rFonts w:hint="eastAsia" w:ascii="宋体" w:hAnsi="宋体" w:eastAsia="宋体" w:cs="Times New Roman"/>
                <w:szCs w:val="21"/>
              </w:rPr>
              <w:t>数据库</w:t>
            </w:r>
          </w:p>
        </w:tc>
        <w:tc>
          <w:tcPr>
            <w:tcW w:w="4536" w:type="dxa"/>
          </w:tcPr>
          <w:p>
            <w:pPr>
              <w:spacing w:line="480" w:lineRule="auto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硕博论文</w:t>
            </w:r>
          </w:p>
        </w:tc>
        <w:tc>
          <w:tcPr>
            <w:tcW w:w="2977" w:type="dxa"/>
          </w:tcPr>
          <w:p>
            <w:pPr>
              <w:spacing w:line="480" w:lineRule="auto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2,139,238</w:t>
            </w:r>
            <w:r>
              <w:rPr>
                <w:rFonts w:hint="eastAsia" w:ascii="宋体" w:hAnsi="宋体"/>
                <w:szCs w:val="21"/>
              </w:rPr>
              <w:t xml:space="preserve">篇 </w:t>
            </w:r>
          </w:p>
        </w:tc>
      </w:tr>
    </w:tbl>
    <w:p>
      <w:pPr>
        <w:snapToGrid w:val="0"/>
        <w:spacing w:line="360" w:lineRule="auto"/>
      </w:pPr>
    </w:p>
    <w:p>
      <w:pPr>
        <w:snapToGrid w:val="0"/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使用方式：</w:t>
      </w:r>
    </w:p>
    <w:p>
      <w:pPr>
        <w:snapToGrid w:val="0"/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登录</w:t>
      </w:r>
      <w:r>
        <w:fldChar w:fldCharType="begin"/>
      </w:r>
      <w:r>
        <w:instrText xml:space="preserve"> HYPERLINK "http://g.wanfangdata.com.cn/" </w:instrText>
      </w:r>
      <w:r>
        <w:fldChar w:fldCharType="separate"/>
      </w:r>
      <w:r>
        <w:rPr>
          <w:rFonts w:asciiTheme="majorEastAsia" w:hAnsiTheme="majorEastAsia" w:eastAsiaTheme="majorEastAsia"/>
          <w:sz w:val="28"/>
          <w:szCs w:val="28"/>
        </w:rPr>
        <w:t>http://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www</w:t>
      </w:r>
      <w:r>
        <w:rPr>
          <w:rFonts w:asciiTheme="majorEastAsia" w:hAnsiTheme="majorEastAsia" w:eastAsiaTheme="majorEastAsia"/>
          <w:sz w:val="28"/>
          <w:szCs w:val="28"/>
        </w:rPr>
        <w:t>.wanfangdata.com.cn/</w:t>
      </w:r>
      <w:r>
        <w:rPr>
          <w:rFonts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asciiTheme="majorEastAsia" w:hAnsiTheme="majorEastAsia" w:eastAsiaTheme="majorEastAsia"/>
          <w:sz w:val="28"/>
          <w:szCs w:val="28"/>
        </w:rPr>
        <w:t>网站，输入检索词，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万方智搜现开通一站式检索，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>例如oil,进入如下界面，点击红框部分，切换至国家工程技术图书馆资源进行查询，</w:t>
      </w:r>
      <w:r>
        <w:rPr>
          <w:rFonts w:hint="eastAsia" w:asciiTheme="majorEastAsia" w:hAnsiTheme="majorEastAsia" w:eastAsiaTheme="majorEastAsia"/>
          <w:sz w:val="28"/>
          <w:szCs w:val="28"/>
          <w:highlight w:val="yellow"/>
        </w:rPr>
        <w:t>资源获取为原文传递方式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</w:rPr>
        <w:drawing>
          <wp:inline distT="0" distB="0" distL="114300" distR="114300">
            <wp:extent cx="5266690" cy="2550160"/>
            <wp:effectExtent l="0" t="0" r="3810" b="2540"/>
            <wp:docPr id="11" name="图片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napToGrid w:val="0"/>
        <w:spacing w:line="360" w:lineRule="auto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1534160</wp:posOffset>
                </wp:positionV>
                <wp:extent cx="1016635" cy="436245"/>
                <wp:effectExtent l="12700" t="12700" r="24765" b="209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02105" y="6758305"/>
                          <a:ext cx="1016635" cy="436245"/>
                        </a:xfrm>
                        <a:prstGeom prst="rect">
                          <a:avLst/>
                        </a:prstGeom>
                        <a:noFill/>
                        <a:ln w="25400" cap="rnd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pt;margin-top:120.8pt;height:34.35pt;width:80.05pt;z-index:251659264;v-text-anchor:middle;mso-width-relative:page;mso-height-relative:page;" filled="f" stroked="t" coordsize="21600,21600" o:gfxdata="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/j/dn9cAAAAK&#10;AQAADwAAAAAAAAABACAAAAAiAAAAZHJzL2Rvd25yZXYueG1sUEsBAhQAFAAAAAgAh07iQB8coE1W&#10;AgAAewQAAA4AAAAAAAAAAQAgAAAAJgEAAGRycy9lMm9Eb2MueG1sUEsFBgAAAAAGAAYAWQEAAO4F&#10;AAAAAA==&#10;">
                <v:fill on="f" focussize="0,0"/>
                <v:stroke weight="2pt" color="#FF0000 [3204]" miterlimit="8" joinstyle="round" endcap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040" cy="2510790"/>
            <wp:effectExtent l="0" t="0" r="10160" b="3810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1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</w:pPr>
    </w:p>
    <w:p>
      <w:pPr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附录：</w:t>
      </w:r>
    </w:p>
    <w:p>
      <w:pPr>
        <w:snapToGrid w:val="0"/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国家工程技术图书馆外文学位论文：</w:t>
      </w:r>
    </w:p>
    <w:p>
      <w:pPr>
        <w:ind w:firstLine="480" w:firstLineChars="200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国家工程技术图书馆是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国内集团采购ProQuest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公司电子版国外优秀硕博士学位论文的主要成员单位，资源学科分类覆盖基础科学、工程科技、信息科技、经济与管理科学学科内容。累计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34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万册，每年新增近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4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万册。合作机构如下表：</w:t>
      </w:r>
    </w:p>
    <w:p>
      <w:pPr>
        <w:ind w:firstLine="480" w:firstLineChars="200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</w:p>
    <w:tbl>
      <w:tblPr>
        <w:tblStyle w:val="3"/>
        <w:tblW w:w="85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1"/>
        <w:gridCol w:w="2693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阿尔伯塔大学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康考迪亚大学 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美国伊利诺伊大学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爱荷华州立大学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康奈尔大学医学院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美国印第安纳州立大学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巴黎综合理工学院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科罗拉多州立大学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美国犹他州立大学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北卡罗莱纳州立大学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克莱姆森大学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美国约翰霍普金斯大学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宾夕法尼亚大学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莱斯大学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密苏里 - 哥伦比亚大学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波士顿大学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伦斯勒理工学院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密西西比州立大学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达尔豪西大学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罗格斯新泽西州立大学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密歇根大学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杜克大学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马里兰大学学院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密歇根州立大学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多伦多大学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马萨诸塞大学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内布拉斯加 - 林肯大学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俄克拉何马州立大学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麦吉尔大学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内华达大学里诺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佛罗里达大学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曼尼托巴大学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南卡罗来纳大学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佛罗里达州立大学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美国爱荷华大学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纽约市立大学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弗吉尼亚理工学院和州立大学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美国宾夕法尼亚州立大学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纽约州立大学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哥伦比亚大学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美国德克萨斯大学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普渡大学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圭尔夫大学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美国俄亥俄州立大学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普林斯顿大学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哈佛大学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美国弗吉尼亚大学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乔治·华盛顿大学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华盛顿大学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美国加州大学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斯坦福大学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滑铁卢大学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美国加州理工学院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特拉华大学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皇后大学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美国堪萨斯大学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威斯康星 - 麦迪逊大学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加拿大英属哥伦比亚大学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美国科罗拉多大学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韦恩州立大学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卡尔顿大学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美国明尼苏达大学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渥太华大学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卡尔加里大学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美国南加州大学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西北大学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卡内基 - 梅隆大学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美国匹兹堡大学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西弗吉尼亚大学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卡佩拉大学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美国辛辛那提大学 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亚利桑那州立大学 </w:t>
            </w:r>
          </w:p>
        </w:tc>
      </w:tr>
    </w:tbl>
    <w:p>
      <w:pPr>
        <w:snapToGrid w:val="0"/>
        <w:rPr>
          <w:rFonts w:ascii="宋体" w:hAnsi="宋体"/>
          <w:bCs/>
        </w:rPr>
      </w:pPr>
    </w:p>
    <w:p>
      <w:pPr>
        <w:snapToGrid w:val="0"/>
        <w:rPr>
          <w:rFonts w:ascii="宋体" w:hAnsi="宋体"/>
          <w:bCs/>
        </w:rPr>
      </w:pPr>
    </w:p>
    <w:p>
      <w:pPr>
        <w:snapToGrid w:val="0"/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国家工程技术图书馆外文科技报告：</w:t>
      </w:r>
    </w:p>
    <w:p>
      <w:pPr>
        <w:ind w:firstLine="480" w:firstLineChars="200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美国政府四大套报告是重要的国外科技文献资源，美国政府四大套报告主要包括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AD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报告、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PB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报告、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DE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报告和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NASA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报告，内容涉及数学与计算机、物理与化学、天文与地球科学、生物与医学、工业技术、交通运输、航空与宇宙空间技术、核科学技术、军工技术、环境科学以及行政管理、文献资料工作与情报技术、经济与成本分析等。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 xml:space="preserve"> </w:t>
      </w:r>
    </w:p>
    <w:p>
      <w:pPr>
        <w:ind w:firstLine="480" w:firstLineChars="200"/>
        <w:rPr>
          <w:rFonts w:ascii="宋体" w:hAnsi="宋体" w:eastAsia="宋体" w:cs="Times New Roman"/>
          <w:kern w:val="0"/>
          <w:sz w:val="24"/>
          <w:szCs w:val="24"/>
          <w:lang w:bidi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国家工程技术图书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馆自上世纪六十起开始收集部分印刷本的美国政府四大套报告，1975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年开始，对四大套报告的收集逐步从印刷版转为缩微平片，并进行全套完整收藏。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2008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年开始将四大套报告的收藏由缩微平片转为电子版。目前，馆藏四大报告约</w:t>
      </w:r>
      <w:r>
        <w:rPr>
          <w:rFonts w:ascii="宋体" w:hAnsi="宋体" w:eastAsia="宋体" w:cs="Times New Roman"/>
          <w:kern w:val="0"/>
          <w:sz w:val="24"/>
          <w:szCs w:val="24"/>
          <w:lang w:bidi="en-US"/>
        </w:rPr>
        <w:t>125</w:t>
      </w:r>
      <w:r>
        <w:rPr>
          <w:rFonts w:hint="eastAsia" w:ascii="宋体" w:hAnsi="宋体" w:eastAsia="宋体" w:cs="Times New Roman"/>
          <w:kern w:val="0"/>
          <w:sz w:val="24"/>
          <w:szCs w:val="24"/>
          <w:lang w:bidi="en-US"/>
        </w:rPr>
        <w:t>万份，是国内收藏美国四大套报告最早、最全的图书馆。</w:t>
      </w:r>
    </w:p>
    <w:p>
      <w:pPr>
        <w:snapToGrid w:val="0"/>
      </w:pPr>
      <w:r>
        <w:rPr>
          <w:rFonts w:hint="eastAsia" w:ascii="宋体" w:hAnsi="宋体"/>
          <w:b/>
          <w:bCs/>
        </w:rPr>
        <w:t>四大报告机构分布如下：</w:t>
      </w:r>
      <w:r>
        <w:rPr>
          <w:rFonts w:hint="eastAsia"/>
        </w:rPr>
        <w:t xml:space="preserve"> </w:t>
      </w:r>
    </w:p>
    <w:tbl>
      <w:tblPr>
        <w:tblStyle w:val="3"/>
        <w:tblW w:w="91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552"/>
        <w:gridCol w:w="35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美国航空航天局 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联合出版物研究服务 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沃尔特·里德陆军研究所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加利福尼亚州蒙特雷海军研究生院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马萨诸塞州研究所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蒙特利加利福尼亚州海军研究生院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橡树岭国家实验室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兰德公司圣莫尼卡加州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国际重建和发展银行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劳伦斯·利弗莫尔国家实验室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国防部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美国海军战争学院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洛斯阿拉莫斯国家实验室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西屋汉福德有限公司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通用电气公司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桑迪亚国家实验室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外交部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美国能源部能源研究办公室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阿贡国家实验室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马歇尔太空飞行中心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汉福德工程技术开发实验室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兰利研究中心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劳伦斯伯克利实验室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美国能源部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布鲁克海文国家实验室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政府问责办公室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约翰逊航天中心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美国陆军战争学院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赖特 - 帕特森空军基地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美国加州大学的洛斯阿拉莫斯科学实验室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格伦研究中心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普林斯顿大学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美国加州大学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巴特尔太平洋西北实验室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海军医学研究所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洛斯阿拉莫斯科学实验室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喷气推进实验室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美国国家可再生能源实验室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劳动局统计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美国国家航空和航天局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对外农业服务局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军队工程师水道实验站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戈达德太空飞行中心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国家研究所。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空军指挥与参谋学院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空军研究所。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陆军指挥和参谋学院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美国陆军研究研究所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美国加州大学伯克利分校。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德州交通研究所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西屋萨凡纳河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美国国会研究服务处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伍兹霍尔海洋研究所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美国海军健康研究中心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海军研究实验室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国际原子能机构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研究三角研究所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艾姆斯研究中心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交通运输研究委员会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艾姆斯实验室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空军研究所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华盛顿海军研究实验室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劳伦斯伯克利国家实验室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的里雅斯特国际理论物理中心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环境保护局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德国电子同步加速器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斯坦福线性加速器中心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建设工程研究实验室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日本原子能研究所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兰德公司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空军地球物理实验室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海军部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人口普查局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美国陆军研究实验室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工程兵部队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美国国家研究委员会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地质调查局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华盛顿总部服务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美国航空航天局格伦研究中心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寒冷地区研究和工程实验室 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/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15FB1"/>
    <w:rsid w:val="588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mxr92</dc:creator>
  <cp:lastModifiedBy>celia</cp:lastModifiedBy>
  <dcterms:modified xsi:type="dcterms:W3CDTF">2018-05-31T03:03:43Z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